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2F" w:rsidRDefault="00F80437" w:rsidP="00E833A1">
      <w:pPr>
        <w:adjustRightInd w:val="0"/>
        <w:snapToGrid w:val="0"/>
        <w:jc w:val="center"/>
        <w:rPr>
          <w:rFonts w:ascii="方正小标宋_GBK" w:eastAsia="方正小标宋_GBK" w:hAnsi="Times New Roman"/>
          <w:spacing w:val="-16"/>
          <w:sz w:val="38"/>
          <w:szCs w:val="38"/>
          <w:u w:val="single"/>
        </w:rPr>
      </w:pPr>
      <w:r w:rsidRPr="00F80437">
        <w:rPr>
          <w:rFonts w:ascii="方正小标宋_GBK" w:eastAsia="方正小标宋_GBK" w:hAnsi="Times New Roman" w:hint="eastAsia"/>
          <w:spacing w:val="-16"/>
          <w:sz w:val="38"/>
          <w:szCs w:val="38"/>
          <w:u w:val="single"/>
        </w:rPr>
        <w:t>天津瀚奇科技发展有限公司</w:t>
      </w:r>
    </w:p>
    <w:p w:rsidR="00E833A1" w:rsidRPr="00EA5C42" w:rsidRDefault="00E833A1" w:rsidP="00E833A1">
      <w:pPr>
        <w:adjustRightInd w:val="0"/>
        <w:snapToGrid w:val="0"/>
        <w:jc w:val="center"/>
        <w:rPr>
          <w:rFonts w:ascii="方正小标宋_GBK" w:eastAsia="方正小标宋_GBK" w:hAnsi="华文中宋"/>
          <w:spacing w:val="-16"/>
          <w:sz w:val="38"/>
          <w:szCs w:val="38"/>
        </w:rPr>
      </w:pPr>
      <w:r w:rsidRPr="00EA5C42">
        <w:rPr>
          <w:rFonts w:ascii="方正小标宋_GBK" w:eastAsia="方正小标宋_GBK" w:hAnsi="华文中宋" w:hint="eastAsia"/>
          <w:spacing w:val="-16"/>
          <w:sz w:val="38"/>
          <w:szCs w:val="38"/>
        </w:rPr>
        <w:t>突发环境事件</w:t>
      </w:r>
    </w:p>
    <w:p w:rsidR="00E833A1" w:rsidRDefault="00E833A1" w:rsidP="00E833A1">
      <w:pPr>
        <w:adjustRightInd w:val="0"/>
        <w:snapToGrid w:val="0"/>
        <w:jc w:val="center"/>
        <w:rPr>
          <w:rFonts w:ascii="方正小标宋_GBK" w:eastAsia="方正小标宋_GBK" w:hAnsi="华文中宋"/>
          <w:sz w:val="38"/>
          <w:szCs w:val="38"/>
        </w:rPr>
      </w:pPr>
      <w:r>
        <w:rPr>
          <w:rFonts w:ascii="方正小标宋_GBK" w:eastAsia="方正小标宋_GBK" w:hAnsi="华文中宋" w:hint="eastAsia"/>
          <w:sz w:val="38"/>
          <w:szCs w:val="38"/>
        </w:rPr>
        <w:t>应急预案评审意见表</w:t>
      </w:r>
    </w:p>
    <w:p w:rsidR="00CF0CFC" w:rsidRDefault="00CF0CFC" w:rsidP="00E833A1">
      <w:pPr>
        <w:adjustRightInd w:val="0"/>
        <w:snapToGrid w:val="0"/>
        <w:jc w:val="center"/>
        <w:rPr>
          <w:rFonts w:ascii="方正小标宋_GBK" w:eastAsia="方正小标宋_GBK" w:hAnsi="华文中宋"/>
          <w:sz w:val="38"/>
          <w:szCs w:val="38"/>
        </w:rPr>
      </w:pPr>
    </w:p>
    <w:tbl>
      <w:tblPr>
        <w:tblW w:w="89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956"/>
      </w:tblGrid>
      <w:tr w:rsidR="00E833A1" w:rsidTr="00D7586C">
        <w:trPr>
          <w:trHeight w:val="454"/>
        </w:trPr>
        <w:tc>
          <w:tcPr>
            <w:tcW w:w="8956" w:type="dxa"/>
            <w:vAlign w:val="center"/>
          </w:tcPr>
          <w:p w:rsidR="00E833A1" w:rsidRDefault="00E833A1" w:rsidP="009B30A4">
            <w:pPr>
              <w:adjustRightInd w:val="0"/>
              <w:snapToGrid w:val="0"/>
              <w:jc w:val="left"/>
              <w:rPr>
                <w:rFonts w:ascii="宋体" w:eastAsia="宋体" w:hAnsi="宋体"/>
                <w:sz w:val="21"/>
                <w:szCs w:val="21"/>
                <w:u w:val="single"/>
              </w:rPr>
            </w:pPr>
            <w:r>
              <w:rPr>
                <w:rFonts w:ascii="宋体" w:eastAsia="宋体" w:hAnsi="宋体" w:hint="eastAsia"/>
                <w:sz w:val="21"/>
                <w:szCs w:val="21"/>
              </w:rPr>
              <w:t>评审时间</w:t>
            </w:r>
            <w:r>
              <w:rPr>
                <w:rFonts w:ascii="宋体" w:eastAsia="宋体" w:hAnsi="宋体" w:hint="eastAsia"/>
                <w:sz w:val="21"/>
                <w:szCs w:val="21"/>
                <w:u w:val="single"/>
              </w:rPr>
              <w:t>：</w:t>
            </w:r>
            <w:r>
              <w:rPr>
                <w:rFonts w:ascii="宋体" w:eastAsia="宋体" w:hAnsi="宋体"/>
                <w:sz w:val="21"/>
                <w:szCs w:val="21"/>
                <w:u w:val="single"/>
              </w:rPr>
              <w:t xml:space="preserve">                                    </w:t>
            </w:r>
            <w:r>
              <w:rPr>
                <w:rFonts w:ascii="宋体" w:eastAsia="宋体" w:hAnsi="宋体" w:hint="eastAsia"/>
                <w:sz w:val="21"/>
                <w:szCs w:val="21"/>
              </w:rPr>
              <w:t>地点：</w:t>
            </w:r>
            <w:r>
              <w:rPr>
                <w:rFonts w:ascii="宋体" w:eastAsia="宋体" w:hAnsi="宋体"/>
                <w:sz w:val="21"/>
                <w:szCs w:val="21"/>
                <w:u w:val="single"/>
              </w:rPr>
              <w:t xml:space="preserve">                              </w:t>
            </w:r>
          </w:p>
        </w:tc>
      </w:tr>
      <w:tr w:rsidR="00E833A1" w:rsidTr="00D7586C">
        <w:trPr>
          <w:trHeight w:val="454"/>
        </w:trPr>
        <w:tc>
          <w:tcPr>
            <w:tcW w:w="8956" w:type="dxa"/>
            <w:vAlign w:val="center"/>
          </w:tcPr>
          <w:p w:rsidR="00E833A1" w:rsidRDefault="00E833A1" w:rsidP="00736665">
            <w:pPr>
              <w:adjustRightInd w:val="0"/>
              <w:snapToGrid w:val="0"/>
              <w:rPr>
                <w:rFonts w:ascii="宋体" w:eastAsia="宋体" w:hAnsi="宋体"/>
                <w:sz w:val="21"/>
                <w:szCs w:val="21"/>
              </w:rPr>
            </w:pPr>
            <w:r>
              <w:rPr>
                <w:rFonts w:ascii="宋体" w:eastAsia="宋体" w:hAnsi="宋体" w:hint="eastAsia"/>
                <w:sz w:val="21"/>
                <w:szCs w:val="21"/>
              </w:rPr>
              <w:t>评审方式：</w:t>
            </w:r>
            <w:r w:rsidR="00736665">
              <w:rPr>
                <w:rFonts w:ascii="宋体" w:eastAsia="宋体" w:hAnsi="宋体" w:hint="eastAsia"/>
                <w:sz w:val="21"/>
                <w:szCs w:val="21"/>
              </w:rPr>
              <w:t>▉</w:t>
            </w:r>
            <w:r>
              <w:rPr>
                <w:rFonts w:ascii="宋体" w:eastAsia="宋体" w:hAnsi="宋体" w:hint="eastAsia"/>
                <w:sz w:val="21"/>
                <w:szCs w:val="21"/>
              </w:rPr>
              <w:t>函审，□会议评审，□函审、会议评审结合，□其他</w:t>
            </w:r>
            <w:r>
              <w:rPr>
                <w:rFonts w:ascii="宋体" w:eastAsia="宋体" w:hAnsi="宋体"/>
                <w:sz w:val="21"/>
                <w:szCs w:val="21"/>
                <w:u w:val="single"/>
              </w:rPr>
              <w:t xml:space="preserve">         </w:t>
            </w:r>
          </w:p>
        </w:tc>
      </w:tr>
      <w:tr w:rsidR="00E833A1" w:rsidTr="00D7586C">
        <w:trPr>
          <w:trHeight w:val="454"/>
        </w:trPr>
        <w:tc>
          <w:tcPr>
            <w:tcW w:w="8956" w:type="dxa"/>
            <w:vAlign w:val="center"/>
          </w:tcPr>
          <w:p w:rsidR="00E833A1" w:rsidRDefault="00E833A1" w:rsidP="00736665">
            <w:pPr>
              <w:adjustRightInd w:val="0"/>
              <w:snapToGrid w:val="0"/>
              <w:rPr>
                <w:rFonts w:ascii="宋体" w:eastAsia="宋体" w:hAnsi="宋体"/>
                <w:sz w:val="21"/>
                <w:szCs w:val="21"/>
              </w:rPr>
            </w:pPr>
            <w:r>
              <w:rPr>
                <w:rFonts w:ascii="宋体" w:eastAsia="宋体" w:hAnsi="宋体" w:hint="eastAsia"/>
                <w:sz w:val="21"/>
                <w:szCs w:val="21"/>
              </w:rPr>
              <w:t>评审结论：</w:t>
            </w:r>
            <w:r w:rsidR="00736665">
              <w:rPr>
                <w:rFonts w:ascii="宋体" w:eastAsia="宋体" w:hAnsi="宋体" w:hint="eastAsia"/>
                <w:sz w:val="21"/>
                <w:szCs w:val="21"/>
              </w:rPr>
              <w:t>▉</w:t>
            </w:r>
            <w:r>
              <w:rPr>
                <w:rFonts w:ascii="宋体" w:eastAsia="宋体" w:hAnsi="宋体" w:hint="eastAsia"/>
                <w:sz w:val="21"/>
                <w:szCs w:val="21"/>
              </w:rPr>
              <w:t>通过评审，□原则通过但需进行修改复核，□未通过评审</w:t>
            </w:r>
          </w:p>
        </w:tc>
      </w:tr>
      <w:tr w:rsidR="00283810" w:rsidTr="00D7586C">
        <w:trPr>
          <w:trHeight w:val="1917"/>
        </w:trPr>
        <w:tc>
          <w:tcPr>
            <w:tcW w:w="8956" w:type="dxa"/>
            <w:vAlign w:val="center"/>
          </w:tcPr>
          <w:p w:rsidR="00283810" w:rsidRPr="00283810" w:rsidRDefault="00283810" w:rsidP="00283810">
            <w:pPr>
              <w:adjustRightInd w:val="0"/>
              <w:snapToGrid w:val="0"/>
              <w:rPr>
                <w:rFonts w:ascii="宋体" w:eastAsia="宋体" w:hAnsi="宋体"/>
                <w:b/>
                <w:sz w:val="21"/>
                <w:szCs w:val="21"/>
              </w:rPr>
            </w:pPr>
            <w:r w:rsidRPr="00283810">
              <w:rPr>
                <w:rFonts w:ascii="宋体" w:eastAsia="宋体" w:hAnsi="宋体" w:hint="eastAsia"/>
                <w:b/>
                <w:sz w:val="21"/>
                <w:szCs w:val="21"/>
              </w:rPr>
              <w:t>评审过程：</w:t>
            </w:r>
          </w:p>
          <w:p w:rsidR="00283810" w:rsidRDefault="00F80437" w:rsidP="00AC72A0">
            <w:pPr>
              <w:adjustRightInd w:val="0"/>
              <w:snapToGrid w:val="0"/>
              <w:ind w:firstLineChars="200" w:firstLine="420"/>
              <w:rPr>
                <w:rFonts w:ascii="宋体" w:eastAsia="宋体" w:hAnsi="宋体"/>
                <w:sz w:val="21"/>
                <w:szCs w:val="21"/>
              </w:rPr>
            </w:pPr>
            <w:r w:rsidRPr="00F80437">
              <w:rPr>
                <w:rFonts w:ascii="宋体" w:eastAsia="宋体" w:hAnsi="宋体" w:hint="eastAsia"/>
                <w:sz w:val="21"/>
                <w:szCs w:val="21"/>
              </w:rPr>
              <w:t>天津瀚奇科技发展有限公司</w:t>
            </w:r>
            <w:r w:rsidR="00283810" w:rsidRPr="00014CF5">
              <w:rPr>
                <w:rFonts w:ascii="宋体" w:eastAsia="宋体" w:hAnsi="宋体" w:hint="eastAsia"/>
                <w:sz w:val="21"/>
                <w:szCs w:val="21"/>
              </w:rPr>
              <w:t>组织编写了《</w:t>
            </w:r>
            <w:r w:rsidRPr="00F80437">
              <w:rPr>
                <w:rFonts w:ascii="宋体" w:eastAsia="宋体" w:hAnsi="宋体" w:hint="eastAsia"/>
                <w:sz w:val="21"/>
                <w:szCs w:val="21"/>
              </w:rPr>
              <w:t>天津瀚奇科技发展有限公司</w:t>
            </w:r>
            <w:r w:rsidR="00283810" w:rsidRPr="00014CF5">
              <w:rPr>
                <w:rFonts w:ascii="宋体" w:eastAsia="宋体" w:hAnsi="宋体" w:hint="eastAsia"/>
                <w:sz w:val="21"/>
                <w:szCs w:val="21"/>
              </w:rPr>
              <w:t>突发环境事件应急预案》（以下简称“应急预案”）。根据提供的应急预案（其中包括环境风险评估报告、应急资源调查报告、环境应急预案等），有关专家采取函审方式对该应急预案进行了审查。</w:t>
            </w:r>
          </w:p>
          <w:p w:rsidR="00283810" w:rsidRDefault="00283810" w:rsidP="00283810">
            <w:pPr>
              <w:adjustRightInd w:val="0"/>
              <w:snapToGrid w:val="0"/>
              <w:ind w:firstLineChars="200" w:firstLine="420"/>
              <w:rPr>
                <w:rFonts w:ascii="宋体" w:eastAsia="宋体" w:hAnsi="宋体"/>
                <w:sz w:val="21"/>
                <w:szCs w:val="21"/>
              </w:rPr>
            </w:pPr>
            <w:r w:rsidRPr="00014CF5">
              <w:rPr>
                <w:rFonts w:ascii="宋体" w:eastAsia="宋体" w:hAnsi="宋体" w:hint="eastAsia"/>
                <w:sz w:val="21"/>
                <w:szCs w:val="21"/>
              </w:rPr>
              <w:t>根据</w:t>
            </w:r>
            <w:r w:rsidRPr="00B00A81">
              <w:rPr>
                <w:rFonts w:ascii="宋体" w:eastAsia="宋体" w:hAnsi="宋体" w:hint="eastAsia"/>
                <w:sz w:val="21"/>
                <w:szCs w:val="21"/>
              </w:rPr>
              <w:t>《企业突发环境事件风险评估指南（试行）》</w:t>
            </w:r>
            <w:r>
              <w:rPr>
                <w:rFonts w:ascii="宋体" w:eastAsia="宋体" w:hAnsi="宋体" w:hint="eastAsia"/>
                <w:sz w:val="21"/>
                <w:szCs w:val="21"/>
              </w:rPr>
              <w:t>、《</w:t>
            </w:r>
            <w:r w:rsidRPr="00014CF5">
              <w:rPr>
                <w:rFonts w:ascii="宋体" w:eastAsia="宋体" w:hAnsi="宋体" w:hint="eastAsia"/>
                <w:sz w:val="21"/>
                <w:szCs w:val="21"/>
              </w:rPr>
              <w:t>企业突发环境事件风险分级方法(HJ 941-2018)</w:t>
            </w:r>
            <w:r>
              <w:rPr>
                <w:rFonts w:ascii="宋体" w:eastAsia="宋体" w:hAnsi="宋体" w:hint="eastAsia"/>
                <w:sz w:val="21"/>
                <w:szCs w:val="21"/>
              </w:rPr>
              <w:t>》、</w:t>
            </w:r>
            <w:r w:rsidRPr="00014CF5">
              <w:rPr>
                <w:rFonts w:ascii="宋体" w:eastAsia="宋体" w:hAnsi="宋体" w:hint="eastAsia"/>
                <w:sz w:val="21"/>
                <w:szCs w:val="21"/>
              </w:rPr>
              <w:t>《企业事业单位突发环境事件应急预案备案管理办法（试行）》</w:t>
            </w:r>
            <w:r>
              <w:rPr>
                <w:rFonts w:ascii="宋体" w:eastAsia="宋体" w:hAnsi="宋体" w:hint="eastAsia"/>
                <w:sz w:val="21"/>
                <w:szCs w:val="21"/>
              </w:rPr>
              <w:t>及《</w:t>
            </w:r>
            <w:r w:rsidRPr="00014CF5">
              <w:rPr>
                <w:rFonts w:ascii="宋体" w:eastAsia="宋体" w:hAnsi="宋体" w:hint="eastAsia"/>
                <w:sz w:val="21"/>
                <w:szCs w:val="21"/>
              </w:rPr>
              <w:t>企业事业单位突发环境事件应急预案评审工作指南（试行）</w:t>
            </w:r>
            <w:r>
              <w:rPr>
                <w:rFonts w:ascii="宋体" w:eastAsia="宋体" w:hAnsi="宋体" w:hint="eastAsia"/>
                <w:sz w:val="21"/>
                <w:szCs w:val="21"/>
              </w:rPr>
              <w:t>》</w:t>
            </w:r>
            <w:r w:rsidRPr="00014CF5">
              <w:rPr>
                <w:rFonts w:ascii="宋体" w:eastAsia="宋体" w:hAnsi="宋体" w:hint="eastAsia"/>
                <w:sz w:val="21"/>
                <w:szCs w:val="21"/>
              </w:rPr>
              <w:t>（</w:t>
            </w:r>
            <w:proofErr w:type="gramStart"/>
            <w:r w:rsidRPr="00014CF5">
              <w:rPr>
                <w:rFonts w:ascii="宋体" w:eastAsia="宋体" w:hAnsi="宋体" w:hint="eastAsia"/>
                <w:sz w:val="21"/>
                <w:szCs w:val="21"/>
              </w:rPr>
              <w:t>环办应急</w:t>
            </w:r>
            <w:proofErr w:type="gramEnd"/>
            <w:r w:rsidRPr="00014CF5">
              <w:rPr>
                <w:rFonts w:ascii="宋体" w:eastAsia="宋体" w:hAnsi="宋体" w:hint="eastAsia"/>
                <w:sz w:val="21"/>
                <w:szCs w:val="21"/>
              </w:rPr>
              <w:t>[2018]8号）等相关要求并结合企业具体情况，审查专家对应急预案进行了认真审查，经汇总形成应急预案评审意见</w:t>
            </w:r>
          </w:p>
          <w:p w:rsidR="00283810" w:rsidRPr="00283810" w:rsidRDefault="00283810" w:rsidP="00283810">
            <w:pPr>
              <w:adjustRightInd w:val="0"/>
              <w:snapToGrid w:val="0"/>
              <w:rPr>
                <w:rFonts w:ascii="宋体" w:eastAsia="宋体" w:hAnsi="宋体"/>
                <w:b/>
                <w:sz w:val="21"/>
                <w:szCs w:val="21"/>
              </w:rPr>
            </w:pPr>
            <w:r w:rsidRPr="00283810">
              <w:rPr>
                <w:rFonts w:ascii="宋体" w:eastAsia="宋体" w:hAnsi="宋体" w:hint="eastAsia"/>
                <w:b/>
                <w:sz w:val="21"/>
                <w:szCs w:val="21"/>
              </w:rPr>
              <w:t>总体评价：</w:t>
            </w:r>
          </w:p>
          <w:p w:rsidR="00283810" w:rsidRPr="00014CF5" w:rsidRDefault="00F80437" w:rsidP="00AC72A0">
            <w:pPr>
              <w:adjustRightInd w:val="0"/>
              <w:snapToGrid w:val="0"/>
              <w:ind w:firstLineChars="200" w:firstLine="420"/>
              <w:rPr>
                <w:rFonts w:ascii="宋体" w:eastAsia="宋体" w:hAnsi="宋体"/>
                <w:sz w:val="21"/>
                <w:szCs w:val="21"/>
              </w:rPr>
            </w:pPr>
            <w:r w:rsidRPr="00F80437">
              <w:rPr>
                <w:rFonts w:ascii="宋体" w:eastAsia="宋体" w:hAnsi="宋体" w:hint="eastAsia"/>
                <w:sz w:val="21"/>
                <w:szCs w:val="21"/>
              </w:rPr>
              <w:t>天津瀚奇科技发展有限公司</w:t>
            </w:r>
            <w:r w:rsidR="00283810" w:rsidRPr="00014CF5">
              <w:rPr>
                <w:rFonts w:ascii="宋体" w:eastAsia="宋体" w:hAnsi="宋体" w:hint="eastAsia"/>
                <w:sz w:val="21"/>
                <w:szCs w:val="21"/>
              </w:rPr>
              <w:t>针对企业生产现状和特点，系统识别分析了各类风险源可能发生的突发环境事件的类型、影响途径、影响后果，并提出了具有一定针对性的应急措施和响应方案。</w:t>
            </w:r>
          </w:p>
          <w:p w:rsidR="00283810" w:rsidRDefault="00283810" w:rsidP="00AC72A0">
            <w:pPr>
              <w:adjustRightInd w:val="0"/>
              <w:snapToGrid w:val="0"/>
              <w:ind w:firstLineChars="200" w:firstLine="420"/>
              <w:rPr>
                <w:rFonts w:ascii="宋体" w:eastAsia="宋体" w:hAnsi="宋体"/>
                <w:sz w:val="21"/>
                <w:szCs w:val="21"/>
              </w:rPr>
            </w:pPr>
            <w:r w:rsidRPr="00014CF5">
              <w:rPr>
                <w:rFonts w:ascii="宋体" w:eastAsia="宋体" w:hAnsi="宋体" w:hint="eastAsia"/>
                <w:sz w:val="21"/>
                <w:szCs w:val="21"/>
              </w:rPr>
              <w:t>应急预案编制目的和使用范围较明确，工作原则基本恰当，单位基本情况概述较清楚，环境风险源</w:t>
            </w:r>
            <w:proofErr w:type="gramStart"/>
            <w:r w:rsidRPr="00014CF5">
              <w:rPr>
                <w:rFonts w:ascii="宋体" w:eastAsia="宋体" w:hAnsi="宋体" w:hint="eastAsia"/>
                <w:sz w:val="21"/>
                <w:szCs w:val="21"/>
              </w:rPr>
              <w:t>辨识较</w:t>
            </w:r>
            <w:proofErr w:type="gramEnd"/>
            <w:r w:rsidRPr="00014CF5">
              <w:rPr>
                <w:rFonts w:ascii="宋体" w:eastAsia="宋体" w:hAnsi="宋体" w:hint="eastAsia"/>
                <w:sz w:val="21"/>
                <w:szCs w:val="21"/>
              </w:rPr>
              <w:t>准确，应急响应机制和应急措施具有一定针对性，应急保障措施较具体，应急培训和演练计划较适宜。</w:t>
            </w:r>
          </w:p>
        </w:tc>
      </w:tr>
      <w:tr w:rsidR="00283810" w:rsidTr="00D7586C">
        <w:trPr>
          <w:trHeight w:val="1999"/>
        </w:trPr>
        <w:tc>
          <w:tcPr>
            <w:tcW w:w="8956" w:type="dxa"/>
            <w:vAlign w:val="center"/>
          </w:tcPr>
          <w:p w:rsidR="00283810" w:rsidRDefault="00283810" w:rsidP="00283810">
            <w:pPr>
              <w:adjustRightInd w:val="0"/>
              <w:snapToGrid w:val="0"/>
              <w:rPr>
                <w:rFonts w:ascii="宋体" w:eastAsia="宋体" w:hAnsi="宋体"/>
                <w:sz w:val="21"/>
                <w:szCs w:val="21"/>
              </w:rPr>
            </w:pPr>
            <w:r>
              <w:rPr>
                <w:rFonts w:ascii="宋体" w:eastAsia="宋体" w:hAnsi="宋体" w:hint="eastAsia"/>
                <w:sz w:val="21"/>
                <w:szCs w:val="21"/>
              </w:rPr>
              <w:t>问题清单：</w:t>
            </w:r>
          </w:p>
          <w:p w:rsidR="00D35432" w:rsidRPr="00195887" w:rsidRDefault="005B4B46" w:rsidP="003E32EA">
            <w:pPr>
              <w:pStyle w:val="a3"/>
              <w:numPr>
                <w:ilvl w:val="0"/>
                <w:numId w:val="2"/>
              </w:numPr>
              <w:adjustRightInd w:val="0"/>
              <w:snapToGrid w:val="0"/>
              <w:ind w:firstLineChars="0"/>
              <w:rPr>
                <w:rFonts w:ascii="宋体" w:eastAsia="宋体" w:hAnsi="宋体"/>
                <w:sz w:val="21"/>
                <w:szCs w:val="21"/>
              </w:rPr>
            </w:pPr>
            <w:r w:rsidRPr="00195887">
              <w:rPr>
                <w:rFonts w:ascii="宋体" w:eastAsia="宋体" w:hAnsi="宋体" w:hint="eastAsia"/>
                <w:sz w:val="21"/>
                <w:szCs w:val="21"/>
              </w:rPr>
              <w:t>对引用的法律法规、标准规</w:t>
            </w:r>
            <w:bookmarkStart w:id="0" w:name="_GoBack"/>
            <w:bookmarkEnd w:id="0"/>
            <w:r w:rsidRPr="00195887">
              <w:rPr>
                <w:rFonts w:ascii="宋体" w:eastAsia="宋体" w:hAnsi="宋体" w:hint="eastAsia"/>
                <w:sz w:val="21"/>
                <w:szCs w:val="21"/>
              </w:rPr>
              <w:t>范等适用性及版本进行筛选。</w:t>
            </w:r>
          </w:p>
          <w:p w:rsidR="00EA202F" w:rsidRDefault="007E295B" w:rsidP="00B57CDE">
            <w:pPr>
              <w:pStyle w:val="a3"/>
              <w:numPr>
                <w:ilvl w:val="0"/>
                <w:numId w:val="2"/>
              </w:numPr>
              <w:adjustRightInd w:val="0"/>
              <w:snapToGrid w:val="0"/>
              <w:ind w:firstLineChars="0"/>
              <w:rPr>
                <w:rFonts w:ascii="宋体" w:eastAsia="宋体" w:hAnsi="宋体"/>
                <w:sz w:val="21"/>
                <w:szCs w:val="21"/>
              </w:rPr>
            </w:pPr>
            <w:r>
              <w:rPr>
                <w:rFonts w:ascii="宋体" w:eastAsia="宋体" w:hAnsi="宋体" w:hint="eastAsia"/>
                <w:sz w:val="21"/>
                <w:szCs w:val="21"/>
              </w:rPr>
              <w:t>核实企业</w:t>
            </w:r>
            <w:r>
              <w:rPr>
                <w:rFonts w:ascii="宋体" w:eastAsia="宋体" w:hAnsi="宋体"/>
                <w:sz w:val="21"/>
                <w:szCs w:val="21"/>
              </w:rPr>
              <w:t>是否存在</w:t>
            </w:r>
            <w:r>
              <w:rPr>
                <w:rFonts w:ascii="宋体" w:eastAsia="宋体" w:hAnsi="宋体" w:hint="eastAsia"/>
                <w:sz w:val="21"/>
                <w:szCs w:val="21"/>
              </w:rPr>
              <w:t>润滑油等</w:t>
            </w:r>
            <w:r>
              <w:rPr>
                <w:rFonts w:ascii="宋体" w:eastAsia="宋体" w:hAnsi="宋体"/>
                <w:sz w:val="21"/>
                <w:szCs w:val="21"/>
              </w:rPr>
              <w:t>风险物质。</w:t>
            </w:r>
          </w:p>
          <w:p w:rsidR="00F511A7" w:rsidRPr="00D0390B" w:rsidRDefault="00A901DA" w:rsidP="00A901DA">
            <w:pPr>
              <w:pStyle w:val="a3"/>
              <w:numPr>
                <w:ilvl w:val="0"/>
                <w:numId w:val="2"/>
              </w:numPr>
              <w:ind w:firstLineChars="0"/>
              <w:rPr>
                <w:rFonts w:ascii="宋体" w:eastAsia="宋体" w:hAnsi="宋体"/>
                <w:sz w:val="21"/>
                <w:szCs w:val="21"/>
              </w:rPr>
            </w:pPr>
            <w:r w:rsidRPr="00A901DA">
              <w:rPr>
                <w:rFonts w:ascii="宋体" w:eastAsia="宋体" w:hAnsi="宋体" w:hint="eastAsia"/>
                <w:sz w:val="21"/>
                <w:szCs w:val="21"/>
              </w:rPr>
              <w:t>按企业突发环境事件风险分级方法要求完善环境风险受体调查，明确评估范围。补充企业周围500米范围人口分布情况，不仅限于环境敏感受体，还包括周边企业单位；根据厂区雨水管网排水去向及水力联系，核实明确水环境风险受体。</w:t>
            </w:r>
          </w:p>
        </w:tc>
      </w:tr>
      <w:tr w:rsidR="00283810" w:rsidTr="00D7586C">
        <w:trPr>
          <w:trHeight w:val="1919"/>
        </w:trPr>
        <w:tc>
          <w:tcPr>
            <w:tcW w:w="8956" w:type="dxa"/>
          </w:tcPr>
          <w:p w:rsidR="00283810" w:rsidRDefault="00283810" w:rsidP="00B556F2">
            <w:pPr>
              <w:adjustRightInd w:val="0"/>
              <w:snapToGrid w:val="0"/>
              <w:spacing w:beforeLines="80" w:before="249"/>
              <w:rPr>
                <w:rFonts w:ascii="宋体" w:eastAsia="宋体" w:hAnsi="宋体"/>
                <w:sz w:val="21"/>
                <w:szCs w:val="21"/>
              </w:rPr>
            </w:pPr>
            <w:r>
              <w:rPr>
                <w:rFonts w:ascii="宋体" w:eastAsia="宋体" w:hAnsi="宋体" w:hint="eastAsia"/>
                <w:sz w:val="21"/>
                <w:szCs w:val="21"/>
              </w:rPr>
              <w:t>修改意见和建议：</w:t>
            </w:r>
          </w:p>
          <w:p w:rsidR="008F0678" w:rsidRDefault="00ED28FC" w:rsidP="00EA5C4A">
            <w:pPr>
              <w:pStyle w:val="a3"/>
              <w:numPr>
                <w:ilvl w:val="0"/>
                <w:numId w:val="1"/>
              </w:numPr>
              <w:adjustRightInd w:val="0"/>
              <w:snapToGrid w:val="0"/>
              <w:ind w:firstLineChars="0"/>
              <w:rPr>
                <w:rFonts w:ascii="宋体" w:eastAsia="宋体" w:hAnsi="宋体"/>
                <w:color w:val="000000" w:themeColor="text1"/>
                <w:sz w:val="21"/>
                <w:szCs w:val="21"/>
              </w:rPr>
            </w:pPr>
            <w:r w:rsidRPr="00F67E86">
              <w:rPr>
                <w:rFonts w:ascii="宋体" w:eastAsia="宋体" w:hAnsi="宋体" w:hint="eastAsia"/>
                <w:sz w:val="21"/>
                <w:szCs w:val="21"/>
              </w:rPr>
              <w:t>《环境风险评估报告》：1）</w:t>
            </w:r>
            <w:r w:rsidRPr="00F67E86">
              <w:rPr>
                <w:rFonts w:ascii="宋体" w:eastAsia="宋体" w:hAnsi="宋体" w:hint="eastAsia"/>
                <w:color w:val="000000" w:themeColor="text1"/>
                <w:sz w:val="21"/>
                <w:szCs w:val="21"/>
              </w:rPr>
              <w:t>完善企业基本信息，补充</w:t>
            </w:r>
            <w:proofErr w:type="gramStart"/>
            <w:r w:rsidRPr="00F67E86">
              <w:rPr>
                <w:rFonts w:ascii="宋体" w:eastAsia="宋体" w:hAnsi="宋体" w:hint="eastAsia"/>
                <w:color w:val="000000" w:themeColor="text1"/>
                <w:sz w:val="21"/>
                <w:szCs w:val="21"/>
              </w:rPr>
              <w:t>企业环</w:t>
            </w:r>
            <w:proofErr w:type="gramEnd"/>
            <w:r w:rsidRPr="00F67E86">
              <w:rPr>
                <w:rFonts w:ascii="宋体" w:eastAsia="宋体" w:hAnsi="宋体" w:hint="eastAsia"/>
                <w:color w:val="000000" w:themeColor="text1"/>
                <w:sz w:val="21"/>
                <w:szCs w:val="21"/>
              </w:rPr>
              <w:t>评验收情况，</w:t>
            </w:r>
            <w:r w:rsidR="006E4F9C" w:rsidRPr="00F67E86">
              <w:rPr>
                <w:rFonts w:ascii="宋体" w:eastAsia="宋体" w:hAnsi="宋体" w:hint="eastAsia"/>
                <w:color w:val="000000" w:themeColor="text1"/>
                <w:sz w:val="21"/>
                <w:szCs w:val="21"/>
              </w:rPr>
              <w:t>补充说明公用工程是否涉及天然气，是否涉及柴油叉车及柴油的储存情况。</w:t>
            </w:r>
            <w:r w:rsidR="00B57CDE">
              <w:rPr>
                <w:rFonts w:ascii="宋体" w:eastAsia="宋体" w:hAnsi="宋体" w:hint="eastAsia"/>
                <w:color w:val="000000" w:themeColor="text1"/>
                <w:sz w:val="21"/>
                <w:szCs w:val="21"/>
              </w:rPr>
              <w:t>2）</w:t>
            </w:r>
            <w:r w:rsidR="00B57CDE" w:rsidRPr="00B57CDE">
              <w:rPr>
                <w:rFonts w:ascii="宋体" w:eastAsia="宋体" w:hAnsi="宋体" w:hint="eastAsia"/>
                <w:color w:val="000000" w:themeColor="text1"/>
                <w:sz w:val="21"/>
                <w:szCs w:val="21"/>
              </w:rPr>
              <w:t>完善所在区域气候气象概况资料，完善风玫瑰图。</w:t>
            </w:r>
            <w:r w:rsidR="00B57CDE">
              <w:rPr>
                <w:rFonts w:ascii="宋体" w:eastAsia="宋体" w:hAnsi="宋体"/>
                <w:color w:val="000000" w:themeColor="text1"/>
                <w:sz w:val="21"/>
                <w:szCs w:val="21"/>
              </w:rPr>
              <w:t>3</w:t>
            </w:r>
            <w:r w:rsidR="006E4F9C" w:rsidRPr="00F67E86">
              <w:rPr>
                <w:rFonts w:ascii="宋体" w:eastAsia="宋体" w:hAnsi="宋体" w:hint="eastAsia"/>
                <w:color w:val="000000" w:themeColor="text1"/>
                <w:sz w:val="21"/>
                <w:szCs w:val="21"/>
              </w:rPr>
              <w:t>）</w:t>
            </w:r>
            <w:r w:rsidR="00BA7313">
              <w:rPr>
                <w:rFonts w:ascii="宋体" w:eastAsia="宋体" w:hAnsi="宋体" w:hint="eastAsia"/>
                <w:color w:val="000000" w:themeColor="text1"/>
                <w:sz w:val="21"/>
                <w:szCs w:val="21"/>
              </w:rPr>
              <w:t>建议弱化对</w:t>
            </w:r>
            <w:r w:rsidR="00BA7313">
              <w:rPr>
                <w:rFonts w:ascii="宋体" w:eastAsia="宋体" w:hAnsi="宋体"/>
                <w:color w:val="000000" w:themeColor="text1"/>
                <w:sz w:val="21"/>
                <w:szCs w:val="21"/>
              </w:rPr>
              <w:t>“</w:t>
            </w:r>
            <w:r w:rsidR="00BA7313" w:rsidRPr="001D5341">
              <w:rPr>
                <w:rFonts w:ascii="宋体" w:eastAsia="宋体" w:hAnsi="宋体"/>
                <w:color w:val="000000" w:themeColor="text1"/>
                <w:sz w:val="21"/>
                <w:szCs w:val="21"/>
              </w:rPr>
              <w:t>环境风险防控设施失灵或非正常操作</w:t>
            </w:r>
            <w:r w:rsidR="00BA7313" w:rsidRPr="001D5341">
              <w:rPr>
                <w:rFonts w:ascii="宋体" w:eastAsia="宋体" w:hAnsi="宋体" w:hint="eastAsia"/>
                <w:color w:val="000000" w:themeColor="text1"/>
                <w:sz w:val="21"/>
                <w:szCs w:val="21"/>
              </w:rPr>
              <w:t>、非正常工况、污染治理设施非正常运行、违法排污、停电、断水、停气、通讯或运输系统故障</w:t>
            </w:r>
            <w:r w:rsidR="00BA7313">
              <w:rPr>
                <w:rFonts w:ascii="宋体" w:eastAsia="宋体" w:hAnsi="宋体"/>
                <w:color w:val="000000" w:themeColor="text1"/>
                <w:sz w:val="21"/>
                <w:szCs w:val="21"/>
              </w:rPr>
              <w:t>”</w:t>
            </w:r>
            <w:r w:rsidR="00BA7313" w:rsidRPr="001D5341">
              <w:rPr>
                <w:rFonts w:ascii="宋体" w:eastAsia="宋体" w:hAnsi="宋体" w:hint="eastAsia"/>
                <w:color w:val="000000" w:themeColor="text1"/>
                <w:sz w:val="21"/>
                <w:szCs w:val="21"/>
              </w:rPr>
              <w:t xml:space="preserve"> 等</w:t>
            </w:r>
            <w:r w:rsidR="00BA7313">
              <w:rPr>
                <w:rFonts w:ascii="宋体" w:eastAsia="宋体" w:hAnsi="宋体" w:hint="eastAsia"/>
                <w:color w:val="000000" w:themeColor="text1"/>
                <w:sz w:val="21"/>
                <w:szCs w:val="21"/>
              </w:rPr>
              <w:t>的</w:t>
            </w:r>
            <w:r w:rsidR="00BA7313" w:rsidRPr="008F0678">
              <w:rPr>
                <w:rFonts w:ascii="宋体" w:eastAsia="宋体" w:hAnsi="宋体" w:hint="eastAsia"/>
                <w:color w:val="000000" w:themeColor="text1"/>
                <w:sz w:val="21"/>
                <w:szCs w:val="21"/>
              </w:rPr>
              <w:t>突发环境事件情景</w:t>
            </w:r>
            <w:r w:rsidR="00BA7313">
              <w:rPr>
                <w:rFonts w:ascii="宋体" w:eastAsia="宋体" w:hAnsi="宋体" w:hint="eastAsia"/>
                <w:color w:val="000000" w:themeColor="text1"/>
                <w:sz w:val="21"/>
                <w:szCs w:val="21"/>
              </w:rPr>
              <w:t>的</w:t>
            </w:r>
            <w:r w:rsidR="00BA7313">
              <w:rPr>
                <w:rFonts w:ascii="宋体" w:eastAsia="宋体" w:hAnsi="宋体"/>
                <w:color w:val="000000" w:themeColor="text1"/>
                <w:sz w:val="21"/>
                <w:szCs w:val="21"/>
              </w:rPr>
              <w:t>分析。</w:t>
            </w:r>
            <w:r w:rsidR="00B57CDE">
              <w:rPr>
                <w:rFonts w:ascii="宋体" w:eastAsia="宋体" w:hAnsi="宋体"/>
                <w:color w:val="000000" w:themeColor="text1"/>
                <w:sz w:val="21"/>
                <w:szCs w:val="21"/>
              </w:rPr>
              <w:t>4</w:t>
            </w:r>
            <w:r w:rsidR="006E4F9C" w:rsidRPr="00F67E86">
              <w:rPr>
                <w:rFonts w:ascii="宋体" w:eastAsia="宋体" w:hAnsi="宋体" w:hint="eastAsia"/>
                <w:color w:val="000000" w:themeColor="text1"/>
                <w:sz w:val="21"/>
                <w:szCs w:val="21"/>
              </w:rPr>
              <w:t>）</w:t>
            </w:r>
            <w:r w:rsidR="00EA5C4A" w:rsidRPr="00EA5C4A">
              <w:rPr>
                <w:rFonts w:ascii="宋体" w:eastAsia="宋体" w:hAnsi="宋体" w:hint="eastAsia"/>
                <w:color w:val="000000" w:themeColor="text1"/>
                <w:sz w:val="21"/>
                <w:szCs w:val="21"/>
              </w:rPr>
              <w:t>天然气泄露事故，明确泄露最不利情况下泄露速率及持续时间，核实是否会导致场外扩散浓度达到爆炸极限。</w:t>
            </w:r>
          </w:p>
          <w:p w:rsidR="00ED28FC" w:rsidRPr="00526C5B" w:rsidRDefault="00ED28FC" w:rsidP="00ED28FC">
            <w:pPr>
              <w:pStyle w:val="a3"/>
              <w:numPr>
                <w:ilvl w:val="0"/>
                <w:numId w:val="1"/>
              </w:numPr>
              <w:adjustRightInd w:val="0"/>
              <w:snapToGrid w:val="0"/>
              <w:ind w:left="447" w:hangingChars="213" w:hanging="447"/>
              <w:rPr>
                <w:rFonts w:ascii="宋体" w:eastAsia="宋体" w:hAnsi="宋体"/>
                <w:color w:val="000000" w:themeColor="text1"/>
                <w:sz w:val="21"/>
                <w:szCs w:val="21"/>
              </w:rPr>
            </w:pPr>
            <w:r w:rsidRPr="00526C5B">
              <w:rPr>
                <w:rFonts w:ascii="宋体" w:eastAsia="宋体" w:hAnsi="宋体" w:hint="eastAsia"/>
                <w:color w:val="000000" w:themeColor="text1"/>
                <w:sz w:val="21"/>
                <w:szCs w:val="21"/>
              </w:rPr>
              <w:t>《应急资源调查报告》：应急资源调查应突出环境事故的应急物资装备，注意与安全应急资源的区别。根据风险评估结论和应急处置方案需要，参照《企业突发环境事件隐患排查和治理工作指南(试行) 》、《危险化学品单位应急救援物质配备要求》，完善环境风险应急资源调查，明确现有应急资源及设施的完备性、列出需要进一步补充完善的应急资源清单。</w:t>
            </w:r>
          </w:p>
          <w:p w:rsidR="00B556F2" w:rsidRDefault="00CF0CFC" w:rsidP="00B57CDE">
            <w:pPr>
              <w:tabs>
                <w:tab w:val="left" w:pos="7274"/>
              </w:tabs>
              <w:adjustRightInd w:val="0"/>
              <w:snapToGrid w:val="0"/>
              <w:ind w:left="447" w:hangingChars="213" w:hanging="447"/>
              <w:rPr>
                <w:rFonts w:ascii="宋体" w:eastAsia="宋体" w:hAnsi="宋体"/>
                <w:color w:val="000000" w:themeColor="text1"/>
                <w:sz w:val="21"/>
                <w:szCs w:val="21"/>
              </w:rPr>
            </w:pPr>
            <w:r>
              <w:rPr>
                <w:rFonts w:ascii="宋体" w:eastAsia="宋体" w:hAnsi="宋体"/>
                <w:color w:val="000000" w:themeColor="text1"/>
                <w:sz w:val="21"/>
                <w:szCs w:val="21"/>
              </w:rPr>
              <w:t>4</w:t>
            </w:r>
            <w:r w:rsidR="00283810" w:rsidRPr="000535F0">
              <w:rPr>
                <w:rFonts w:ascii="宋体" w:eastAsia="宋体" w:hAnsi="宋体" w:hint="eastAsia"/>
                <w:color w:val="000000" w:themeColor="text1"/>
                <w:sz w:val="21"/>
                <w:szCs w:val="21"/>
              </w:rPr>
              <w:t>、</w:t>
            </w:r>
            <w:r w:rsidR="00A02E6B" w:rsidRPr="00A02E6B">
              <w:rPr>
                <w:rFonts w:ascii="宋体" w:eastAsia="宋体" w:hAnsi="宋体" w:hint="eastAsia"/>
                <w:color w:val="000000" w:themeColor="text1"/>
                <w:sz w:val="21"/>
                <w:szCs w:val="21"/>
              </w:rPr>
              <w:t>《应急预案》：</w:t>
            </w:r>
            <w:r w:rsidR="00E93F74">
              <w:rPr>
                <w:rFonts w:ascii="宋体" w:eastAsia="宋体" w:hAnsi="宋体" w:hint="eastAsia"/>
                <w:color w:val="000000" w:themeColor="text1"/>
                <w:sz w:val="21"/>
                <w:szCs w:val="21"/>
              </w:rPr>
              <w:t>1）</w:t>
            </w:r>
            <w:r w:rsidR="00E93F74" w:rsidRPr="00E93F74">
              <w:rPr>
                <w:rFonts w:ascii="宋体" w:eastAsia="宋体" w:hAnsi="宋体" w:hint="eastAsia"/>
                <w:color w:val="000000" w:themeColor="text1"/>
                <w:sz w:val="21"/>
                <w:szCs w:val="21"/>
              </w:rPr>
              <w:t>在重点引用评估报告工作成果基础上，重点说明企业主要环境风险特征、主要环境风险事故类型</w:t>
            </w:r>
            <w:r w:rsidR="00B57CDE">
              <w:rPr>
                <w:rFonts w:ascii="宋体" w:eastAsia="宋体" w:hAnsi="宋体" w:hint="eastAsia"/>
                <w:color w:val="000000" w:themeColor="text1"/>
                <w:sz w:val="21"/>
                <w:szCs w:val="21"/>
              </w:rPr>
              <w:t>。</w:t>
            </w:r>
            <w:r w:rsidR="00DE4EDC">
              <w:rPr>
                <w:rFonts w:ascii="宋体" w:eastAsia="宋体" w:hAnsi="宋体"/>
                <w:color w:val="000000" w:themeColor="text1"/>
                <w:sz w:val="21"/>
                <w:szCs w:val="21"/>
              </w:rPr>
              <w:t>2</w:t>
            </w:r>
            <w:r w:rsidR="00E93F74">
              <w:rPr>
                <w:rFonts w:ascii="宋体" w:eastAsia="宋体" w:hAnsi="宋体" w:hint="eastAsia"/>
                <w:color w:val="000000" w:themeColor="text1"/>
                <w:sz w:val="21"/>
                <w:szCs w:val="21"/>
              </w:rPr>
              <w:t>）</w:t>
            </w:r>
            <w:r w:rsidR="00B57CDE">
              <w:rPr>
                <w:rFonts w:ascii="宋体" w:eastAsia="宋体" w:hAnsi="宋体" w:hint="eastAsia"/>
                <w:color w:val="000000" w:themeColor="text1"/>
                <w:sz w:val="21"/>
                <w:szCs w:val="21"/>
              </w:rPr>
              <w:t>企业“</w:t>
            </w:r>
            <w:r w:rsidR="00B57CDE" w:rsidRPr="00B57CDE">
              <w:rPr>
                <w:rFonts w:ascii="宋体" w:eastAsia="宋体" w:hAnsi="宋体" w:hint="eastAsia"/>
                <w:color w:val="000000" w:themeColor="text1"/>
                <w:sz w:val="21"/>
                <w:szCs w:val="21"/>
              </w:rPr>
              <w:t>应急组织体系图</w:t>
            </w:r>
            <w:r w:rsidR="00B57CDE">
              <w:rPr>
                <w:rFonts w:ascii="宋体" w:eastAsia="宋体" w:hAnsi="宋体" w:hint="eastAsia"/>
                <w:color w:val="000000" w:themeColor="text1"/>
                <w:sz w:val="21"/>
                <w:szCs w:val="21"/>
              </w:rPr>
              <w:t>”根据本报告修改</w:t>
            </w:r>
            <w:r w:rsidR="00F511A7">
              <w:rPr>
                <w:rFonts w:ascii="宋体" w:eastAsia="宋体" w:hAnsi="宋体" w:hint="eastAsia"/>
                <w:color w:val="000000" w:themeColor="text1"/>
                <w:sz w:val="21"/>
                <w:szCs w:val="21"/>
              </w:rPr>
              <w:t>，报告</w:t>
            </w:r>
            <w:r w:rsidR="00F511A7">
              <w:rPr>
                <w:rFonts w:ascii="宋体" w:eastAsia="宋体" w:hAnsi="宋体"/>
                <w:color w:val="000000" w:themeColor="text1"/>
                <w:sz w:val="21"/>
                <w:szCs w:val="21"/>
              </w:rPr>
              <w:t>未</w:t>
            </w:r>
            <w:r w:rsidR="00F511A7">
              <w:rPr>
                <w:rFonts w:ascii="宋体" w:eastAsia="宋体" w:hAnsi="宋体" w:hint="eastAsia"/>
                <w:color w:val="000000" w:themeColor="text1"/>
                <w:sz w:val="21"/>
                <w:szCs w:val="21"/>
              </w:rPr>
              <w:t>区分综合、</w:t>
            </w:r>
            <w:proofErr w:type="gramStart"/>
            <w:r w:rsidR="00F511A7">
              <w:rPr>
                <w:rFonts w:ascii="宋体" w:eastAsia="宋体" w:hAnsi="宋体"/>
                <w:color w:val="000000" w:themeColor="text1"/>
                <w:sz w:val="21"/>
                <w:szCs w:val="21"/>
              </w:rPr>
              <w:t>专项</w:t>
            </w:r>
            <w:r w:rsidR="00F511A7">
              <w:rPr>
                <w:rFonts w:ascii="宋体" w:eastAsia="宋体" w:hAnsi="宋体" w:hint="eastAsia"/>
                <w:color w:val="000000" w:themeColor="text1"/>
                <w:sz w:val="21"/>
                <w:szCs w:val="21"/>
              </w:rPr>
              <w:t>等</w:t>
            </w:r>
            <w:proofErr w:type="gramEnd"/>
            <w:r w:rsidR="006D74A8">
              <w:rPr>
                <w:rFonts w:ascii="宋体" w:eastAsia="宋体" w:hAnsi="宋体" w:hint="eastAsia"/>
                <w:color w:val="000000" w:themeColor="text1"/>
                <w:sz w:val="21"/>
                <w:szCs w:val="21"/>
              </w:rPr>
              <w:t>3）</w:t>
            </w:r>
            <w:r w:rsidR="003F5A50" w:rsidRPr="003F5A50">
              <w:rPr>
                <w:rFonts w:ascii="宋体" w:eastAsia="宋体" w:hAnsi="宋体" w:hint="eastAsia"/>
                <w:color w:val="000000" w:themeColor="text1"/>
                <w:sz w:val="21"/>
                <w:szCs w:val="21"/>
              </w:rPr>
              <w:t>企业环境风险不大，建议在生产安全事故应急组织体系的基础上建立环境应急专业处置队伍，明确队伍组成及职责，避免与安全应急职能的重叠或矛盾，适当合并现有应急小组功能；根据本企业环境事故特点实事求是完善明确各小组职能，做到界面清晰，分工</w:t>
            </w:r>
            <w:r w:rsidR="003F5A50" w:rsidRPr="003F5A50">
              <w:rPr>
                <w:rFonts w:ascii="宋体" w:eastAsia="宋体" w:hAnsi="宋体" w:hint="eastAsia"/>
                <w:color w:val="000000" w:themeColor="text1"/>
                <w:sz w:val="21"/>
                <w:szCs w:val="21"/>
              </w:rPr>
              <w:lastRenderedPageBreak/>
              <w:t>明确，协作顺畅，且应突出明确本企业泄漏处置</w:t>
            </w:r>
            <w:r w:rsidR="00325E4B">
              <w:rPr>
                <w:rFonts w:ascii="宋体" w:eastAsia="宋体" w:hAnsi="宋体" w:hint="eastAsia"/>
                <w:color w:val="000000" w:themeColor="text1"/>
                <w:sz w:val="21"/>
                <w:szCs w:val="21"/>
              </w:rPr>
              <w:t>的</w:t>
            </w:r>
            <w:r w:rsidR="003F5A50" w:rsidRPr="003F5A50">
              <w:rPr>
                <w:rFonts w:ascii="宋体" w:eastAsia="宋体" w:hAnsi="宋体" w:hint="eastAsia"/>
                <w:color w:val="000000" w:themeColor="text1"/>
                <w:sz w:val="21"/>
                <w:szCs w:val="21"/>
              </w:rPr>
              <w:t>环境应急职能；各小组人员设置应充分考虑应急状态下的有效性，现场应急处置操作人员应以基层员工为主。</w:t>
            </w:r>
            <w:r w:rsidR="00F511A7">
              <w:rPr>
                <w:rFonts w:ascii="宋体" w:eastAsia="宋体" w:hAnsi="宋体"/>
                <w:color w:val="000000" w:themeColor="text1"/>
                <w:sz w:val="21"/>
                <w:szCs w:val="21"/>
              </w:rPr>
              <w:t>3</w:t>
            </w:r>
            <w:r w:rsidR="00436B9A" w:rsidRPr="00436B9A">
              <w:rPr>
                <w:rFonts w:ascii="宋体" w:eastAsia="宋体" w:hAnsi="宋体" w:hint="eastAsia"/>
                <w:color w:val="000000" w:themeColor="text1"/>
                <w:sz w:val="21"/>
                <w:szCs w:val="21"/>
              </w:rPr>
              <w:t>）</w:t>
            </w:r>
            <w:r w:rsidR="00C467DF" w:rsidRPr="00C467DF">
              <w:rPr>
                <w:rFonts w:ascii="宋体" w:eastAsia="宋体" w:hAnsi="宋体" w:hint="eastAsia"/>
                <w:color w:val="000000" w:themeColor="text1"/>
                <w:sz w:val="21"/>
                <w:szCs w:val="21"/>
              </w:rPr>
              <w:t>建议按应急响应级别及事故类别，结合本企业实际情况和现有应急资源，按本企业不同类型事故及演化进程，分事故给出综合完善的环境应急处置程序及具体现场处置措施以提高可执行新和可操作性，包括事故的发现预警、报告、响应、指挥及应急处置、疏散、洗消作业及环境监测和环境恢复等；并落实到应急组织中的执行岗位、调用的具体应急物资和设施。</w:t>
            </w:r>
          </w:p>
          <w:p w:rsidR="00283810" w:rsidRDefault="00CF0CFC" w:rsidP="00140E97">
            <w:pPr>
              <w:adjustRightInd w:val="0"/>
              <w:snapToGrid w:val="0"/>
              <w:ind w:left="447" w:hangingChars="213" w:hanging="447"/>
              <w:rPr>
                <w:rFonts w:ascii="宋体" w:eastAsia="宋体" w:hAnsi="宋体"/>
                <w:sz w:val="21"/>
                <w:szCs w:val="21"/>
              </w:rPr>
            </w:pPr>
            <w:r>
              <w:rPr>
                <w:rFonts w:ascii="宋体" w:eastAsia="宋体" w:hAnsi="宋体"/>
                <w:sz w:val="21"/>
                <w:szCs w:val="21"/>
              </w:rPr>
              <w:t>5</w:t>
            </w:r>
            <w:r w:rsidR="00283810">
              <w:rPr>
                <w:rFonts w:ascii="宋体" w:eastAsia="宋体" w:hAnsi="宋体"/>
                <w:sz w:val="21"/>
                <w:szCs w:val="21"/>
              </w:rPr>
              <w:t>、</w:t>
            </w:r>
            <w:r w:rsidR="00E93F74">
              <w:rPr>
                <w:rFonts w:ascii="宋体" w:eastAsia="宋体" w:hAnsi="宋体" w:hint="eastAsia"/>
                <w:sz w:val="21"/>
                <w:szCs w:val="21"/>
              </w:rPr>
              <w:t>《</w:t>
            </w:r>
            <w:r w:rsidR="00E93F74" w:rsidRPr="00E93F74">
              <w:rPr>
                <w:rFonts w:ascii="宋体" w:eastAsia="宋体" w:hAnsi="宋体" w:hint="eastAsia"/>
                <w:sz w:val="21"/>
                <w:szCs w:val="21"/>
              </w:rPr>
              <w:t>编制说明</w:t>
            </w:r>
            <w:r w:rsidR="00E93F74">
              <w:rPr>
                <w:rFonts w:ascii="宋体" w:eastAsia="宋体" w:hAnsi="宋体" w:hint="eastAsia"/>
                <w:sz w:val="21"/>
                <w:szCs w:val="21"/>
              </w:rPr>
              <w:t>》：</w:t>
            </w:r>
            <w:r w:rsidR="00247A56" w:rsidRPr="00247A56">
              <w:rPr>
                <w:rFonts w:ascii="宋体" w:eastAsia="宋体" w:hAnsi="宋体" w:hint="eastAsia"/>
                <w:sz w:val="21"/>
                <w:szCs w:val="21"/>
              </w:rPr>
              <w:t>根据环发[2015]4号文件要求完善环境应急预案编制说明，明确征求意见情况（</w:t>
            </w:r>
            <w:proofErr w:type="gramStart"/>
            <w:r w:rsidR="00247A56" w:rsidRPr="00247A56">
              <w:rPr>
                <w:rFonts w:ascii="宋体" w:eastAsia="宋体" w:hAnsi="宋体" w:hint="eastAsia"/>
                <w:sz w:val="21"/>
                <w:szCs w:val="21"/>
              </w:rPr>
              <w:t>附意见</w:t>
            </w:r>
            <w:proofErr w:type="gramEnd"/>
            <w:r w:rsidR="00247A56" w:rsidRPr="00247A56">
              <w:rPr>
                <w:rFonts w:ascii="宋体" w:eastAsia="宋体" w:hAnsi="宋体" w:hint="eastAsia"/>
                <w:sz w:val="21"/>
                <w:szCs w:val="21"/>
              </w:rPr>
              <w:t>及内容统计）及采纳情况。</w:t>
            </w:r>
          </w:p>
          <w:p w:rsidR="00140E97" w:rsidRPr="00247A56" w:rsidRDefault="00140E97"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D35432" w:rsidRDefault="00D35432" w:rsidP="00140E97">
            <w:pPr>
              <w:adjustRightInd w:val="0"/>
              <w:snapToGrid w:val="0"/>
              <w:ind w:left="447" w:hangingChars="213" w:hanging="447"/>
              <w:rPr>
                <w:rFonts w:ascii="宋体" w:eastAsia="宋体" w:hAnsi="宋体"/>
                <w:sz w:val="21"/>
                <w:szCs w:val="21"/>
              </w:rPr>
            </w:pPr>
          </w:p>
          <w:p w:rsidR="00D35432" w:rsidRDefault="00D35432" w:rsidP="00140E97">
            <w:pPr>
              <w:adjustRightInd w:val="0"/>
              <w:snapToGrid w:val="0"/>
              <w:ind w:left="447" w:hangingChars="213" w:hanging="447"/>
              <w:rPr>
                <w:rFonts w:ascii="宋体" w:eastAsia="宋体" w:hAnsi="宋体"/>
                <w:sz w:val="21"/>
                <w:szCs w:val="21"/>
              </w:rPr>
            </w:pPr>
          </w:p>
          <w:p w:rsidR="00D35432" w:rsidRDefault="00D35432" w:rsidP="00140E97">
            <w:pPr>
              <w:adjustRightInd w:val="0"/>
              <w:snapToGrid w:val="0"/>
              <w:ind w:left="447" w:hangingChars="213" w:hanging="447"/>
              <w:rPr>
                <w:rFonts w:ascii="宋体" w:eastAsia="宋体" w:hAnsi="宋体"/>
                <w:sz w:val="21"/>
                <w:szCs w:val="21"/>
              </w:rPr>
            </w:pPr>
          </w:p>
          <w:p w:rsidR="00D35432" w:rsidRDefault="00D35432" w:rsidP="00140E97">
            <w:pPr>
              <w:adjustRightInd w:val="0"/>
              <w:snapToGrid w:val="0"/>
              <w:ind w:left="447" w:hangingChars="213" w:hanging="447"/>
              <w:rPr>
                <w:rFonts w:ascii="宋体" w:eastAsia="宋体" w:hAnsi="宋体"/>
                <w:sz w:val="21"/>
                <w:szCs w:val="21"/>
              </w:rPr>
            </w:pPr>
          </w:p>
          <w:p w:rsidR="00D35432" w:rsidRDefault="00D35432" w:rsidP="00140E97">
            <w:pPr>
              <w:adjustRightInd w:val="0"/>
              <w:snapToGrid w:val="0"/>
              <w:ind w:left="447" w:hangingChars="213" w:hanging="447"/>
              <w:rPr>
                <w:rFonts w:ascii="宋体" w:eastAsia="宋体" w:hAnsi="宋体"/>
                <w:sz w:val="21"/>
                <w:szCs w:val="21"/>
              </w:rPr>
            </w:pPr>
          </w:p>
          <w:p w:rsidR="00D35432" w:rsidRDefault="00D35432" w:rsidP="00140E97">
            <w:pPr>
              <w:adjustRightInd w:val="0"/>
              <w:snapToGrid w:val="0"/>
              <w:ind w:left="447" w:hangingChars="213" w:hanging="447"/>
              <w:rPr>
                <w:rFonts w:ascii="宋体" w:eastAsia="宋体" w:hAnsi="宋体"/>
                <w:sz w:val="21"/>
                <w:szCs w:val="21"/>
              </w:rPr>
            </w:pPr>
          </w:p>
          <w:p w:rsidR="00D35432" w:rsidRDefault="00D35432" w:rsidP="00140E97">
            <w:pPr>
              <w:adjustRightInd w:val="0"/>
              <w:snapToGrid w:val="0"/>
              <w:ind w:left="447" w:hangingChars="213" w:hanging="447"/>
              <w:rPr>
                <w:rFonts w:ascii="宋体" w:eastAsia="宋体" w:hAnsi="宋体"/>
                <w:sz w:val="21"/>
                <w:szCs w:val="21"/>
              </w:rPr>
            </w:pPr>
          </w:p>
          <w:p w:rsidR="00D35432" w:rsidRDefault="00D35432" w:rsidP="00140E97">
            <w:pPr>
              <w:adjustRightInd w:val="0"/>
              <w:snapToGrid w:val="0"/>
              <w:ind w:left="447" w:hangingChars="213" w:hanging="447"/>
              <w:rPr>
                <w:rFonts w:ascii="宋体" w:eastAsia="宋体" w:hAnsi="宋体"/>
                <w:sz w:val="21"/>
                <w:szCs w:val="21"/>
              </w:rPr>
            </w:pPr>
          </w:p>
          <w:p w:rsidR="00D35432" w:rsidRDefault="00D35432"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711009" w:rsidRDefault="00711009" w:rsidP="00140E97">
            <w:pPr>
              <w:adjustRightInd w:val="0"/>
              <w:snapToGrid w:val="0"/>
              <w:ind w:left="447" w:hangingChars="213" w:hanging="447"/>
              <w:rPr>
                <w:rFonts w:ascii="宋体" w:eastAsia="宋体" w:hAnsi="宋体"/>
                <w:sz w:val="21"/>
                <w:szCs w:val="21"/>
              </w:rPr>
            </w:pPr>
          </w:p>
          <w:p w:rsidR="00711009" w:rsidRDefault="00711009" w:rsidP="00140E97">
            <w:pPr>
              <w:adjustRightInd w:val="0"/>
              <w:snapToGrid w:val="0"/>
              <w:ind w:left="447" w:hangingChars="213" w:hanging="447"/>
              <w:rPr>
                <w:rFonts w:ascii="宋体" w:eastAsia="宋体" w:hAnsi="宋体"/>
                <w:sz w:val="21"/>
                <w:szCs w:val="21"/>
              </w:rPr>
            </w:pPr>
          </w:p>
          <w:p w:rsidR="00711009" w:rsidRDefault="00711009" w:rsidP="00140E97">
            <w:pPr>
              <w:adjustRightInd w:val="0"/>
              <w:snapToGrid w:val="0"/>
              <w:ind w:left="447" w:hangingChars="213" w:hanging="447"/>
              <w:rPr>
                <w:rFonts w:ascii="宋体" w:eastAsia="宋体" w:hAnsi="宋体"/>
                <w:sz w:val="21"/>
                <w:szCs w:val="21"/>
              </w:rPr>
            </w:pPr>
          </w:p>
          <w:p w:rsidR="00711009" w:rsidRDefault="00711009" w:rsidP="00140E97">
            <w:pPr>
              <w:adjustRightInd w:val="0"/>
              <w:snapToGrid w:val="0"/>
              <w:ind w:left="447" w:hangingChars="213" w:hanging="447"/>
              <w:rPr>
                <w:rFonts w:ascii="宋体" w:eastAsia="宋体" w:hAnsi="宋体"/>
                <w:sz w:val="21"/>
                <w:szCs w:val="21"/>
              </w:rPr>
            </w:pPr>
          </w:p>
          <w:p w:rsidR="00711009" w:rsidRDefault="00711009" w:rsidP="00140E97">
            <w:pPr>
              <w:adjustRightInd w:val="0"/>
              <w:snapToGrid w:val="0"/>
              <w:ind w:left="447" w:hangingChars="213" w:hanging="447"/>
              <w:rPr>
                <w:rFonts w:ascii="宋体" w:eastAsia="宋体" w:hAnsi="宋体"/>
                <w:sz w:val="21"/>
                <w:szCs w:val="21"/>
              </w:rPr>
            </w:pPr>
          </w:p>
          <w:p w:rsidR="00711009" w:rsidRDefault="00711009"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89360F" w:rsidRDefault="0089360F" w:rsidP="00140E97">
            <w:pPr>
              <w:adjustRightInd w:val="0"/>
              <w:snapToGrid w:val="0"/>
              <w:ind w:left="447" w:hangingChars="213" w:hanging="447"/>
              <w:rPr>
                <w:rFonts w:ascii="宋体" w:eastAsia="宋体" w:hAnsi="宋体"/>
                <w:sz w:val="21"/>
                <w:szCs w:val="21"/>
              </w:rPr>
            </w:pPr>
          </w:p>
          <w:p w:rsidR="0089360F" w:rsidRDefault="0089360F" w:rsidP="00140E97">
            <w:pPr>
              <w:adjustRightInd w:val="0"/>
              <w:snapToGrid w:val="0"/>
              <w:ind w:left="447" w:hangingChars="213" w:hanging="447"/>
              <w:rPr>
                <w:rFonts w:ascii="宋体" w:eastAsia="宋体" w:hAnsi="宋体"/>
                <w:sz w:val="21"/>
                <w:szCs w:val="21"/>
              </w:rPr>
            </w:pPr>
          </w:p>
          <w:p w:rsidR="0089360F" w:rsidRDefault="0089360F" w:rsidP="00140E97">
            <w:pPr>
              <w:adjustRightInd w:val="0"/>
              <w:snapToGrid w:val="0"/>
              <w:ind w:left="447" w:hangingChars="213" w:hanging="447"/>
              <w:rPr>
                <w:rFonts w:ascii="宋体" w:eastAsia="宋体" w:hAnsi="宋体"/>
                <w:sz w:val="21"/>
                <w:szCs w:val="21"/>
              </w:rPr>
            </w:pPr>
          </w:p>
          <w:p w:rsidR="0089360F" w:rsidRDefault="0089360F"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p w:rsidR="00140E97" w:rsidRDefault="00140E97" w:rsidP="00140E97">
            <w:pPr>
              <w:adjustRightInd w:val="0"/>
              <w:snapToGrid w:val="0"/>
              <w:ind w:left="447" w:hangingChars="213" w:hanging="447"/>
              <w:rPr>
                <w:rFonts w:ascii="宋体" w:eastAsia="宋体" w:hAnsi="宋体"/>
                <w:sz w:val="21"/>
                <w:szCs w:val="21"/>
              </w:rPr>
            </w:pPr>
          </w:p>
        </w:tc>
      </w:tr>
      <w:tr w:rsidR="00283810" w:rsidTr="00D7586C">
        <w:trPr>
          <w:trHeight w:val="2118"/>
        </w:trPr>
        <w:tc>
          <w:tcPr>
            <w:tcW w:w="8956" w:type="dxa"/>
            <w:vAlign w:val="center"/>
          </w:tcPr>
          <w:p w:rsidR="00283810" w:rsidRDefault="00283810" w:rsidP="00283810">
            <w:pPr>
              <w:adjustRightInd w:val="0"/>
              <w:snapToGrid w:val="0"/>
              <w:spacing w:line="360" w:lineRule="auto"/>
              <w:rPr>
                <w:rFonts w:ascii="宋体" w:eastAsia="宋体" w:hAnsi="宋体"/>
                <w:sz w:val="21"/>
                <w:szCs w:val="21"/>
              </w:rPr>
            </w:pPr>
            <w:r>
              <w:rPr>
                <w:rFonts w:ascii="宋体" w:eastAsia="宋体" w:hAnsi="宋体" w:hint="eastAsia"/>
                <w:sz w:val="21"/>
                <w:szCs w:val="21"/>
              </w:rPr>
              <w:lastRenderedPageBreak/>
              <w:t>评审人员人数：</w:t>
            </w:r>
            <w:r>
              <w:rPr>
                <w:rFonts w:ascii="宋体" w:eastAsia="宋体" w:hAnsi="宋体"/>
                <w:sz w:val="21"/>
                <w:szCs w:val="21"/>
                <w:u w:val="single"/>
              </w:rPr>
              <w:t xml:space="preserve">         </w:t>
            </w:r>
            <w:r>
              <w:rPr>
                <w:rFonts w:ascii="宋体" w:eastAsia="宋体" w:hAnsi="宋体"/>
                <w:sz w:val="21"/>
                <w:szCs w:val="21"/>
              </w:rPr>
              <w:t xml:space="preserve"> </w:t>
            </w:r>
          </w:p>
          <w:p w:rsidR="00283810" w:rsidRDefault="00283810" w:rsidP="00283810">
            <w:pPr>
              <w:adjustRightInd w:val="0"/>
              <w:snapToGrid w:val="0"/>
              <w:spacing w:line="360" w:lineRule="auto"/>
              <w:rPr>
                <w:rFonts w:ascii="宋体" w:eastAsia="宋体" w:hAnsi="宋体"/>
                <w:sz w:val="21"/>
                <w:szCs w:val="21"/>
              </w:rPr>
            </w:pPr>
            <w:r>
              <w:rPr>
                <w:rFonts w:ascii="宋体" w:eastAsia="宋体" w:hAnsi="宋体" w:hint="eastAsia"/>
                <w:sz w:val="21"/>
                <w:szCs w:val="21"/>
              </w:rPr>
              <w:t>评审组长签字：</w:t>
            </w:r>
            <w:r>
              <w:rPr>
                <w:rFonts w:ascii="宋体" w:eastAsia="宋体" w:hAnsi="宋体"/>
                <w:sz w:val="21"/>
                <w:szCs w:val="21"/>
                <w:u w:val="single"/>
              </w:rPr>
              <w:t xml:space="preserve">         </w:t>
            </w:r>
          </w:p>
          <w:p w:rsidR="00283810" w:rsidRDefault="00283810" w:rsidP="00283810">
            <w:pPr>
              <w:adjustRightInd w:val="0"/>
              <w:snapToGrid w:val="0"/>
              <w:spacing w:line="360" w:lineRule="auto"/>
              <w:rPr>
                <w:rFonts w:ascii="宋体" w:eastAsia="宋体" w:hAnsi="宋体"/>
                <w:sz w:val="21"/>
                <w:szCs w:val="21"/>
              </w:rPr>
            </w:pPr>
            <w:r>
              <w:rPr>
                <w:rFonts w:ascii="宋体" w:eastAsia="宋体" w:hAnsi="宋体" w:hint="eastAsia"/>
                <w:sz w:val="21"/>
                <w:szCs w:val="21"/>
              </w:rPr>
              <w:t>其他评审人员签字：</w:t>
            </w:r>
            <w:r>
              <w:rPr>
                <w:rFonts w:ascii="宋体" w:eastAsia="宋体" w:hAnsi="宋体"/>
                <w:sz w:val="21"/>
                <w:szCs w:val="21"/>
                <w:u w:val="single"/>
              </w:rPr>
              <w:t xml:space="preserve">                                                                 </w:t>
            </w:r>
          </w:p>
          <w:p w:rsidR="00283810" w:rsidRDefault="00283810" w:rsidP="00283810">
            <w:pPr>
              <w:adjustRightInd w:val="0"/>
              <w:snapToGrid w:val="0"/>
              <w:spacing w:line="360" w:lineRule="auto"/>
              <w:rPr>
                <w:rFonts w:ascii="宋体" w:eastAsia="宋体" w:hAnsi="宋体"/>
                <w:sz w:val="21"/>
                <w:szCs w:val="21"/>
              </w:rPr>
            </w:pPr>
            <w:r>
              <w:rPr>
                <w:rFonts w:ascii="宋体" w:eastAsia="宋体" w:hAnsi="宋体" w:hint="eastAsia"/>
                <w:sz w:val="21"/>
                <w:szCs w:val="21"/>
              </w:rPr>
              <w:t>企业负责人签字：</w:t>
            </w:r>
            <w:r>
              <w:rPr>
                <w:rFonts w:ascii="宋体" w:eastAsia="宋体" w:hAnsi="宋体"/>
                <w:sz w:val="21"/>
                <w:szCs w:val="21"/>
                <w:u w:val="single"/>
              </w:rPr>
              <w:t xml:space="preserve">                                                                   </w:t>
            </w:r>
          </w:p>
          <w:p w:rsidR="00283810" w:rsidRDefault="00283810" w:rsidP="00283810">
            <w:pPr>
              <w:adjustRightInd w:val="0"/>
              <w:snapToGrid w:val="0"/>
              <w:spacing w:line="360" w:lineRule="auto"/>
              <w:jc w:val="right"/>
              <w:rPr>
                <w:rFonts w:ascii="宋体" w:eastAsia="宋体" w:hAnsi="宋体"/>
                <w:sz w:val="21"/>
                <w:szCs w:val="21"/>
              </w:rPr>
            </w:pPr>
            <w:r>
              <w:rPr>
                <w:rFonts w:ascii="宋体" w:eastAsia="宋体" w:hAnsi="宋体"/>
                <w:sz w:val="21"/>
                <w:szCs w:val="21"/>
                <w:u w:val="single"/>
              </w:rPr>
              <w:t xml:space="preserve">      </w:t>
            </w:r>
            <w:r>
              <w:rPr>
                <w:rFonts w:ascii="宋体" w:eastAsia="宋体" w:hAnsi="宋体" w:hint="eastAsia"/>
                <w:sz w:val="21"/>
                <w:szCs w:val="21"/>
              </w:rPr>
              <w:t>年</w:t>
            </w:r>
            <w:r>
              <w:rPr>
                <w:rFonts w:ascii="宋体" w:eastAsia="宋体" w:hAnsi="宋体"/>
                <w:sz w:val="21"/>
                <w:szCs w:val="21"/>
                <w:u w:val="single"/>
              </w:rPr>
              <w:t xml:space="preserve">     </w:t>
            </w:r>
            <w:r>
              <w:rPr>
                <w:rFonts w:ascii="宋体" w:eastAsia="宋体" w:hAnsi="宋体" w:hint="eastAsia"/>
                <w:sz w:val="21"/>
                <w:szCs w:val="21"/>
              </w:rPr>
              <w:t>月</w:t>
            </w:r>
            <w:r>
              <w:rPr>
                <w:rFonts w:ascii="宋体" w:eastAsia="宋体" w:hAnsi="宋体"/>
                <w:sz w:val="21"/>
                <w:szCs w:val="21"/>
                <w:u w:val="single"/>
              </w:rPr>
              <w:t xml:space="preserve">     </w:t>
            </w:r>
            <w:r>
              <w:rPr>
                <w:rFonts w:ascii="宋体" w:eastAsia="宋体" w:hAnsi="宋体" w:hint="eastAsia"/>
                <w:sz w:val="21"/>
                <w:szCs w:val="21"/>
              </w:rPr>
              <w:t>日</w:t>
            </w:r>
          </w:p>
        </w:tc>
      </w:tr>
    </w:tbl>
    <w:p w:rsidR="004C0043" w:rsidRPr="00E833A1" w:rsidRDefault="00E833A1" w:rsidP="00D35432">
      <w:pPr>
        <w:adjustRightInd w:val="0"/>
        <w:snapToGrid w:val="0"/>
        <w:spacing w:beforeLines="50" w:before="156"/>
      </w:pPr>
      <w:r>
        <w:rPr>
          <w:rFonts w:ascii="宋体" w:eastAsia="宋体" w:hAnsi="宋体" w:hint="eastAsia"/>
          <w:sz w:val="21"/>
          <w:szCs w:val="21"/>
        </w:rPr>
        <w:t>附：定量打分结果和各评审专家评审表。</w:t>
      </w:r>
    </w:p>
    <w:sectPr w:rsidR="004C0043" w:rsidRPr="00E833A1" w:rsidSect="00B360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BD" w:rsidRDefault="00F443BD" w:rsidP="00232976">
      <w:r>
        <w:separator/>
      </w:r>
    </w:p>
  </w:endnote>
  <w:endnote w:type="continuationSeparator" w:id="0">
    <w:p w:rsidR="00F443BD" w:rsidRDefault="00F443BD" w:rsidP="0023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宋体"/>
    <w:charset w:val="86"/>
    <w:family w:val="script"/>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BD" w:rsidRDefault="00F443BD" w:rsidP="00232976">
      <w:r>
        <w:separator/>
      </w:r>
    </w:p>
  </w:footnote>
  <w:footnote w:type="continuationSeparator" w:id="0">
    <w:p w:rsidR="00F443BD" w:rsidRDefault="00F443BD" w:rsidP="00232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10F"/>
    <w:multiLevelType w:val="hybridMultilevel"/>
    <w:tmpl w:val="7AD6EFB2"/>
    <w:lvl w:ilvl="0" w:tplc="741CC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B23525"/>
    <w:multiLevelType w:val="hybridMultilevel"/>
    <w:tmpl w:val="24B4852E"/>
    <w:lvl w:ilvl="0" w:tplc="BB949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A1"/>
    <w:rsid w:val="000027FF"/>
    <w:rsid w:val="0002614E"/>
    <w:rsid w:val="000535F0"/>
    <w:rsid w:val="00056711"/>
    <w:rsid w:val="00102B7B"/>
    <w:rsid w:val="00133B99"/>
    <w:rsid w:val="00136D04"/>
    <w:rsid w:val="00140E97"/>
    <w:rsid w:val="00146114"/>
    <w:rsid w:val="00180521"/>
    <w:rsid w:val="00195887"/>
    <w:rsid w:val="001A334C"/>
    <w:rsid w:val="001B032E"/>
    <w:rsid w:val="001D5341"/>
    <w:rsid w:val="001E468E"/>
    <w:rsid w:val="002157AB"/>
    <w:rsid w:val="00217CC5"/>
    <w:rsid w:val="0022580C"/>
    <w:rsid w:val="00232976"/>
    <w:rsid w:val="002405A2"/>
    <w:rsid w:val="00247A56"/>
    <w:rsid w:val="00283810"/>
    <w:rsid w:val="002A19F2"/>
    <w:rsid w:val="002B5BDC"/>
    <w:rsid w:val="002D1306"/>
    <w:rsid w:val="002F001E"/>
    <w:rsid w:val="002F2A1B"/>
    <w:rsid w:val="00325E4B"/>
    <w:rsid w:val="0033599A"/>
    <w:rsid w:val="003807F1"/>
    <w:rsid w:val="003C148C"/>
    <w:rsid w:val="003D285A"/>
    <w:rsid w:val="003E32EA"/>
    <w:rsid w:val="003F5A50"/>
    <w:rsid w:val="00436B9A"/>
    <w:rsid w:val="004B4052"/>
    <w:rsid w:val="004C0043"/>
    <w:rsid w:val="00505986"/>
    <w:rsid w:val="00594C5D"/>
    <w:rsid w:val="005B4B46"/>
    <w:rsid w:val="005B6C7E"/>
    <w:rsid w:val="005E7F74"/>
    <w:rsid w:val="00613F02"/>
    <w:rsid w:val="006165E4"/>
    <w:rsid w:val="00630961"/>
    <w:rsid w:val="006C0241"/>
    <w:rsid w:val="006D74A8"/>
    <w:rsid w:val="006E1114"/>
    <w:rsid w:val="006E4F9C"/>
    <w:rsid w:val="00711009"/>
    <w:rsid w:val="00723223"/>
    <w:rsid w:val="007261D8"/>
    <w:rsid w:val="00736665"/>
    <w:rsid w:val="00740A51"/>
    <w:rsid w:val="00754CE5"/>
    <w:rsid w:val="00755C15"/>
    <w:rsid w:val="007A53E4"/>
    <w:rsid w:val="007B0464"/>
    <w:rsid w:val="007B6247"/>
    <w:rsid w:val="007C491F"/>
    <w:rsid w:val="007C582F"/>
    <w:rsid w:val="007D0F1A"/>
    <w:rsid w:val="007D6E4D"/>
    <w:rsid w:val="007E295B"/>
    <w:rsid w:val="00806645"/>
    <w:rsid w:val="00814D23"/>
    <w:rsid w:val="0082193A"/>
    <w:rsid w:val="00844291"/>
    <w:rsid w:val="008850D3"/>
    <w:rsid w:val="0089360F"/>
    <w:rsid w:val="008C1550"/>
    <w:rsid w:val="008C1644"/>
    <w:rsid w:val="008F0678"/>
    <w:rsid w:val="009010F5"/>
    <w:rsid w:val="009070C6"/>
    <w:rsid w:val="009E443F"/>
    <w:rsid w:val="00A02E6B"/>
    <w:rsid w:val="00A86158"/>
    <w:rsid w:val="00A87BD0"/>
    <w:rsid w:val="00A901DA"/>
    <w:rsid w:val="00A950E6"/>
    <w:rsid w:val="00AC72A0"/>
    <w:rsid w:val="00AE0DD0"/>
    <w:rsid w:val="00B3609D"/>
    <w:rsid w:val="00B556F2"/>
    <w:rsid w:val="00B57CDE"/>
    <w:rsid w:val="00BA7313"/>
    <w:rsid w:val="00C13D1B"/>
    <w:rsid w:val="00C1778E"/>
    <w:rsid w:val="00C3178E"/>
    <w:rsid w:val="00C467DF"/>
    <w:rsid w:val="00C54BB5"/>
    <w:rsid w:val="00C57CC1"/>
    <w:rsid w:val="00C755C7"/>
    <w:rsid w:val="00CC2E22"/>
    <w:rsid w:val="00CD1059"/>
    <w:rsid w:val="00CF0CFC"/>
    <w:rsid w:val="00D02951"/>
    <w:rsid w:val="00D0390B"/>
    <w:rsid w:val="00D35432"/>
    <w:rsid w:val="00D6303B"/>
    <w:rsid w:val="00D7586C"/>
    <w:rsid w:val="00D825AB"/>
    <w:rsid w:val="00D84740"/>
    <w:rsid w:val="00D859A5"/>
    <w:rsid w:val="00DA6D4E"/>
    <w:rsid w:val="00DE2AAD"/>
    <w:rsid w:val="00DE2C18"/>
    <w:rsid w:val="00DE464E"/>
    <w:rsid w:val="00DE4EDC"/>
    <w:rsid w:val="00E114F9"/>
    <w:rsid w:val="00E17D91"/>
    <w:rsid w:val="00E351D7"/>
    <w:rsid w:val="00E57494"/>
    <w:rsid w:val="00E833A1"/>
    <w:rsid w:val="00E93F74"/>
    <w:rsid w:val="00EA202F"/>
    <w:rsid w:val="00EA25D9"/>
    <w:rsid w:val="00EA28CC"/>
    <w:rsid w:val="00EA5C42"/>
    <w:rsid w:val="00EA5C4A"/>
    <w:rsid w:val="00ED28FC"/>
    <w:rsid w:val="00EE193E"/>
    <w:rsid w:val="00F07A6D"/>
    <w:rsid w:val="00F33DB5"/>
    <w:rsid w:val="00F443BD"/>
    <w:rsid w:val="00F511A7"/>
    <w:rsid w:val="00F67E86"/>
    <w:rsid w:val="00F80437"/>
    <w:rsid w:val="00FB17F0"/>
    <w:rsid w:val="00FB547C"/>
    <w:rsid w:val="00FB6508"/>
    <w:rsid w:val="00FE6B54"/>
    <w:rsid w:val="00FF3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A1"/>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42"/>
    <w:pPr>
      <w:ind w:firstLineChars="200" w:firstLine="420"/>
    </w:pPr>
  </w:style>
  <w:style w:type="paragraph" w:styleId="a4">
    <w:name w:val="header"/>
    <w:basedOn w:val="a"/>
    <w:link w:val="Char"/>
    <w:uiPriority w:val="99"/>
    <w:unhideWhenUsed/>
    <w:rsid w:val="00232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2976"/>
    <w:rPr>
      <w:rFonts w:ascii="Calibri" w:eastAsia="仿宋_GB2312" w:hAnsi="Calibri" w:cs="Times New Roman"/>
      <w:sz w:val="18"/>
      <w:szCs w:val="18"/>
    </w:rPr>
  </w:style>
  <w:style w:type="paragraph" w:styleId="a5">
    <w:name w:val="footer"/>
    <w:basedOn w:val="a"/>
    <w:link w:val="Char0"/>
    <w:uiPriority w:val="99"/>
    <w:unhideWhenUsed/>
    <w:rsid w:val="00232976"/>
    <w:pPr>
      <w:tabs>
        <w:tab w:val="center" w:pos="4153"/>
        <w:tab w:val="right" w:pos="8306"/>
      </w:tabs>
      <w:snapToGrid w:val="0"/>
      <w:jc w:val="left"/>
    </w:pPr>
    <w:rPr>
      <w:sz w:val="18"/>
      <w:szCs w:val="18"/>
    </w:rPr>
  </w:style>
  <w:style w:type="character" w:customStyle="1" w:styleId="Char0">
    <w:name w:val="页脚 Char"/>
    <w:basedOn w:val="a0"/>
    <w:link w:val="a5"/>
    <w:uiPriority w:val="99"/>
    <w:rsid w:val="00232976"/>
    <w:rPr>
      <w:rFonts w:ascii="Calibri" w:eastAsia="仿宋_GB2312"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A1"/>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42"/>
    <w:pPr>
      <w:ind w:firstLineChars="200" w:firstLine="420"/>
    </w:pPr>
  </w:style>
  <w:style w:type="paragraph" w:styleId="a4">
    <w:name w:val="header"/>
    <w:basedOn w:val="a"/>
    <w:link w:val="Char"/>
    <w:uiPriority w:val="99"/>
    <w:unhideWhenUsed/>
    <w:rsid w:val="00232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2976"/>
    <w:rPr>
      <w:rFonts w:ascii="Calibri" w:eastAsia="仿宋_GB2312" w:hAnsi="Calibri" w:cs="Times New Roman"/>
      <w:sz w:val="18"/>
      <w:szCs w:val="18"/>
    </w:rPr>
  </w:style>
  <w:style w:type="paragraph" w:styleId="a5">
    <w:name w:val="footer"/>
    <w:basedOn w:val="a"/>
    <w:link w:val="Char0"/>
    <w:uiPriority w:val="99"/>
    <w:unhideWhenUsed/>
    <w:rsid w:val="00232976"/>
    <w:pPr>
      <w:tabs>
        <w:tab w:val="center" w:pos="4153"/>
        <w:tab w:val="right" w:pos="8306"/>
      </w:tabs>
      <w:snapToGrid w:val="0"/>
      <w:jc w:val="left"/>
    </w:pPr>
    <w:rPr>
      <w:sz w:val="18"/>
      <w:szCs w:val="18"/>
    </w:rPr>
  </w:style>
  <w:style w:type="character" w:customStyle="1" w:styleId="Char0">
    <w:name w:val="页脚 Char"/>
    <w:basedOn w:val="a0"/>
    <w:link w:val="a5"/>
    <w:uiPriority w:val="99"/>
    <w:rsid w:val="00232976"/>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292</Words>
  <Characters>1671</Characters>
  <Application>Microsoft Office Word</Application>
  <DocSecurity>0</DocSecurity>
  <Lines>13</Lines>
  <Paragraphs>3</Paragraphs>
  <ScaleCrop>false</ScaleCrop>
  <Company>china</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2018-09-10T01:45:00Z</cp:lastPrinted>
  <dcterms:created xsi:type="dcterms:W3CDTF">2018-08-19T06:55:00Z</dcterms:created>
  <dcterms:modified xsi:type="dcterms:W3CDTF">2018-09-10T01:45:00Z</dcterms:modified>
</cp:coreProperties>
</file>